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280" w:rsidRPr="00023C16" w:rsidRDefault="00023C16">
      <w:pPr>
        <w:rPr>
          <w:b/>
        </w:rPr>
      </w:pPr>
      <w:r w:rsidRPr="00023C16">
        <w:rPr>
          <w:b/>
        </w:rPr>
        <w:t>FT Faculty Salary</w:t>
      </w:r>
      <w:r w:rsidR="004D1E32">
        <w:rPr>
          <w:b/>
        </w:rPr>
        <w:t xml:space="preserve"> and/or </w:t>
      </w:r>
      <w:r w:rsidRPr="00023C16">
        <w:rPr>
          <w:b/>
        </w:rPr>
        <w:t>Balloon Update f 09A</w:t>
      </w:r>
    </w:p>
    <w:p w:rsidR="00023C16" w:rsidRDefault="00023C16"/>
    <w:p w:rsidR="004D1E32" w:rsidRPr="00B17DFC" w:rsidRDefault="004D1E32" w:rsidP="004D1E32">
      <w:pPr>
        <w:shd w:val="clear" w:color="auto" w:fill="FFFFFF"/>
        <w:rPr>
          <w:rStyle w:val="Hyperlink"/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fldChar w:fldCharType="begin"/>
      </w:r>
      <w:r>
        <w:rPr>
          <w:rFonts w:ascii="Helvetica" w:hAnsi="Helvetica" w:cs="Helvetica"/>
          <w:b/>
        </w:rPr>
        <w:instrText xml:space="preserve"> HYPERLINK "http://ctclinkreferencecenter.ctclink.us/m/79727/l/928452-9-2-balloon-payment-processing-in-peoplesoft" \l "attach_a_balloon_payment_calendar_to_an_employee" </w:instrText>
      </w:r>
      <w:r>
        <w:rPr>
          <w:rFonts w:ascii="Helvetica" w:hAnsi="Helvetica" w:cs="Helvetica"/>
          <w:b/>
        </w:rPr>
        <w:fldChar w:fldCharType="separate"/>
      </w:r>
      <w:r w:rsidRPr="00B17DFC">
        <w:rPr>
          <w:rStyle w:val="Hyperlink"/>
          <w:rFonts w:ascii="Helvetica" w:hAnsi="Helvetica" w:cs="Helvetica"/>
          <w:b/>
        </w:rPr>
        <w:t>Attach a Balloon Payment Calendar to an Employee</w:t>
      </w:r>
    </w:p>
    <w:p w:rsidR="004D1E32" w:rsidRPr="0086602D" w:rsidRDefault="004D1E32" w:rsidP="004D1E32">
      <w:pPr>
        <w:pStyle w:val="NormalWeb"/>
        <w:rPr>
          <w:rStyle w:val="Strong"/>
          <w:rFonts w:ascii="Helvetica" w:hAnsi="Helvetica" w:cs="Helvetica"/>
          <w:bCs w:val="0"/>
        </w:rPr>
      </w:pPr>
      <w:r>
        <w:fldChar w:fldCharType="end"/>
      </w:r>
    </w:p>
    <w:p w:rsidR="004D1E32" w:rsidRPr="0086602D" w:rsidRDefault="004D1E32" w:rsidP="004D1E32">
      <w:pPr>
        <w:pStyle w:val="NormalWeb"/>
      </w:pPr>
      <w:r w:rsidRPr="0086602D">
        <w:t xml:space="preserve">After </w:t>
      </w:r>
      <w:hyperlink r:id="rId7" w:anchor="attach_a_balloon_payment_calendar_to_an_employee" w:history="1">
        <w:r w:rsidRPr="00956D31">
          <w:rPr>
            <w:rStyle w:val="Hyperlink"/>
          </w:rPr>
          <w:t>Creating a Balloon Calendar</w:t>
        </w:r>
      </w:hyperlink>
      <w:r>
        <w:t xml:space="preserve"> (QRG is great)</w:t>
      </w:r>
      <w:r w:rsidRPr="0086602D">
        <w:t>, you can attach the Balloon Calendar Code to each FT Faculty with a balloon</w:t>
      </w:r>
      <w:r>
        <w:t xml:space="preserve"> (you can have multiple Balloon Calendars)</w:t>
      </w:r>
      <w:r w:rsidRPr="0086602D">
        <w:t>.</w:t>
      </w:r>
    </w:p>
    <w:p w:rsidR="004D1E32" w:rsidRPr="0086602D" w:rsidRDefault="004D1E32" w:rsidP="004D1E32">
      <w:pPr>
        <w:pStyle w:val="NormalWeb"/>
      </w:pPr>
    </w:p>
    <w:p w:rsidR="004D1E32" w:rsidRPr="0086602D" w:rsidRDefault="004D1E32" w:rsidP="004D1E32">
      <w:pPr>
        <w:pStyle w:val="NormalWeb"/>
      </w:pPr>
      <w:r w:rsidRPr="0086602D">
        <w:t>Since WVC faculty are on a Short Work Break during the summer, I brought them back off Short Work Break and then updated salaries and balloon info.</w:t>
      </w:r>
    </w:p>
    <w:p w:rsidR="004D1E32" w:rsidRDefault="004D1E32"/>
    <w:p w:rsidR="00224462" w:rsidRPr="0092477F" w:rsidRDefault="00224462">
      <w:pPr>
        <w:rPr>
          <w:b/>
          <w:color w:val="FF0000"/>
        </w:rPr>
      </w:pPr>
      <w:r w:rsidRPr="0092477F">
        <w:rPr>
          <w:b/>
          <w:color w:val="FF0000"/>
        </w:rPr>
        <w:t>Pay Rate Change</w:t>
      </w:r>
      <w:r w:rsidR="0092477F">
        <w:rPr>
          <w:b/>
          <w:color w:val="FF0000"/>
        </w:rPr>
        <w:t xml:space="preserve"> (no Balloon)</w:t>
      </w:r>
    </w:p>
    <w:p w:rsidR="00C40716" w:rsidRDefault="00C40716">
      <w:pPr>
        <w:rPr>
          <w:b/>
        </w:rPr>
      </w:pPr>
    </w:p>
    <w:p w:rsidR="00994280" w:rsidRDefault="00994280">
      <w:r w:rsidRPr="00994280">
        <w:rPr>
          <w:b/>
        </w:rPr>
        <w:t xml:space="preserve">Work Location tab: </w:t>
      </w:r>
      <w:r>
        <w:t xml:space="preserve">Add + a row, change Effective Date to </w:t>
      </w:r>
      <w:r w:rsidR="00F045AA">
        <w:t>9</w:t>
      </w:r>
      <w:r>
        <w:t>/1, Action (</w:t>
      </w:r>
      <w:r w:rsidR="0092477F">
        <w:t>Pay Rate Change</w:t>
      </w:r>
      <w:r>
        <w:t>), Reason (</w:t>
      </w:r>
      <w:r w:rsidR="0092477F">
        <w:t>Other or Blank</w:t>
      </w:r>
      <w:r>
        <w:t xml:space="preserve">), change Effective Sequence if there is already a </w:t>
      </w:r>
      <w:r w:rsidR="00F045AA">
        <w:t>9</w:t>
      </w:r>
      <w:r>
        <w:t>/1 Effective Date.</w:t>
      </w:r>
    </w:p>
    <w:p w:rsidR="0092477F" w:rsidRDefault="0092477F"/>
    <w:p w:rsidR="0092477F" w:rsidRDefault="007F332B">
      <w:r>
        <w:rPr>
          <w:noProof/>
        </w:rPr>
        <w:drawing>
          <wp:inline distT="0" distB="0" distL="0" distR="0" wp14:anchorId="685A13FA" wp14:editId="51BD2068">
            <wp:extent cx="6316980" cy="1964698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8779" cy="197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77F" w:rsidRDefault="0092477F"/>
    <w:p w:rsidR="0092477F" w:rsidRDefault="0092477F">
      <w:r w:rsidRPr="0092477F">
        <w:rPr>
          <w:b/>
        </w:rPr>
        <w:t>Compensation tab:</w:t>
      </w:r>
      <w:r>
        <w:t xml:space="preserve"> change salary, frequency should be </w:t>
      </w:r>
      <w:r w:rsidRPr="006355BB">
        <w:rPr>
          <w:b/>
        </w:rPr>
        <w:t>C20</w:t>
      </w:r>
      <w:r>
        <w:t xml:space="preserve"> with no balloon</w:t>
      </w:r>
      <w:r w:rsidR="00D75075">
        <w:t xml:space="preserve"> click Calculate Compensation,</w:t>
      </w:r>
      <w:r>
        <w:t xml:space="preserve"> </w:t>
      </w:r>
      <w:r w:rsidR="00D75075">
        <w:t>s</w:t>
      </w:r>
      <w:r>
        <w:t>ave.</w:t>
      </w:r>
    </w:p>
    <w:p w:rsidR="0092477F" w:rsidRDefault="0092477F"/>
    <w:p w:rsidR="0092477F" w:rsidRDefault="007F332B">
      <w:r>
        <w:rPr>
          <w:noProof/>
        </w:rPr>
        <w:drawing>
          <wp:inline distT="0" distB="0" distL="0" distR="0" wp14:anchorId="48EEDFBC" wp14:editId="56229A21">
            <wp:extent cx="6103146" cy="391731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8611" cy="392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5075" w:rsidRDefault="00D75075">
      <w:pPr>
        <w:spacing w:after="160" w:line="259" w:lineRule="auto"/>
      </w:pPr>
      <w:r>
        <w:br w:type="page"/>
      </w:r>
    </w:p>
    <w:p w:rsidR="00D75075" w:rsidRDefault="00D75075">
      <w:r w:rsidRPr="00D75075">
        <w:rPr>
          <w:b/>
        </w:rPr>
        <w:lastRenderedPageBreak/>
        <w:t>CTC Job Data tab:</w:t>
      </w:r>
      <w:r>
        <w:t xml:space="preserve"> make sure Balloon Payment ID is blank for faculty with no balloon payment.</w:t>
      </w:r>
      <w:r w:rsidR="00987992">
        <w:t xml:space="preserve"> Also check all other information like </w:t>
      </w:r>
      <w:r w:rsidR="009A12E0">
        <w:t>Job Emp Type, Job Term and Contract Units to be sure they are correct.</w:t>
      </w:r>
    </w:p>
    <w:p w:rsidR="00D75075" w:rsidRDefault="00D75075"/>
    <w:p w:rsidR="00D75075" w:rsidRDefault="007F332B">
      <w:r>
        <w:rPr>
          <w:noProof/>
        </w:rPr>
        <w:drawing>
          <wp:inline distT="0" distB="0" distL="0" distR="0" wp14:anchorId="4588C8B9" wp14:editId="2B2CF3EF">
            <wp:extent cx="6858000" cy="392176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2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075" w:rsidRDefault="00D75075"/>
    <w:p w:rsidR="00D75075" w:rsidRPr="0092477F" w:rsidRDefault="00D75075" w:rsidP="00D75075">
      <w:pPr>
        <w:rPr>
          <w:b/>
          <w:color w:val="FF0000"/>
        </w:rPr>
      </w:pPr>
      <w:r w:rsidRPr="0092477F">
        <w:rPr>
          <w:b/>
          <w:color w:val="FF0000"/>
        </w:rPr>
        <w:t>Pay Rate Change</w:t>
      </w:r>
      <w:r>
        <w:rPr>
          <w:b/>
          <w:color w:val="FF0000"/>
        </w:rPr>
        <w:t xml:space="preserve"> (with Balloon</w:t>
      </w:r>
      <w:r w:rsidR="0052173F">
        <w:rPr>
          <w:b/>
          <w:color w:val="FF0000"/>
        </w:rPr>
        <w:t>—or just adding balloon</w:t>
      </w:r>
      <w:r>
        <w:rPr>
          <w:b/>
          <w:color w:val="FF0000"/>
        </w:rPr>
        <w:t>)</w:t>
      </w:r>
    </w:p>
    <w:p w:rsidR="00D75075" w:rsidRDefault="00D75075"/>
    <w:p w:rsidR="00D75075" w:rsidRDefault="00D75075" w:rsidP="00D75075">
      <w:r w:rsidRPr="00994280">
        <w:rPr>
          <w:b/>
        </w:rPr>
        <w:t xml:space="preserve">Work Location tab: </w:t>
      </w:r>
      <w:r>
        <w:t>Add + a row, change Effective Date to 9/1, Action (Data Change), Reason (Contract</w:t>
      </w:r>
      <w:r w:rsidR="007D22F6">
        <w:t xml:space="preserve"> or Balloon</w:t>
      </w:r>
      <w:r w:rsidR="005B4169">
        <w:t xml:space="preserve"> Payment Option-doesn’t really matter</w:t>
      </w:r>
      <w:r>
        <w:t>), change Effective Sequence if there is already a 9/1 Effective Date.</w:t>
      </w:r>
    </w:p>
    <w:p w:rsidR="00D75075" w:rsidRDefault="00D75075"/>
    <w:p w:rsidR="00994280" w:rsidRDefault="00EE0FB5">
      <w:r>
        <w:rPr>
          <w:noProof/>
        </w:rPr>
        <w:drawing>
          <wp:inline distT="0" distB="0" distL="0" distR="0" wp14:anchorId="16D54B45" wp14:editId="1F89400E">
            <wp:extent cx="6858000" cy="2064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280" w:rsidRDefault="00994280"/>
    <w:p w:rsidR="0052173F" w:rsidRDefault="0052173F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045AA" w:rsidRDefault="00F045AA">
      <w:r w:rsidRPr="00EE2FC0">
        <w:rPr>
          <w:b/>
        </w:rPr>
        <w:lastRenderedPageBreak/>
        <w:t>Compensation tab:</w:t>
      </w:r>
      <w:r>
        <w:t xml:space="preserve"> update compensation, if applicable, Frequency should be </w:t>
      </w:r>
      <w:r w:rsidR="0052173F" w:rsidRPr="006355BB">
        <w:rPr>
          <w:b/>
        </w:rPr>
        <w:t>S</w:t>
      </w:r>
      <w:r w:rsidRPr="006355BB">
        <w:rPr>
          <w:b/>
        </w:rPr>
        <w:t xml:space="preserve"> </w:t>
      </w:r>
      <w:r w:rsidR="0052173F">
        <w:t xml:space="preserve">with </w:t>
      </w:r>
      <w:r>
        <w:t>Balloon</w:t>
      </w:r>
      <w:r w:rsidR="00EE2FC0">
        <w:t>, click Calculate Compensation.</w:t>
      </w:r>
    </w:p>
    <w:p w:rsidR="00F045AA" w:rsidRDefault="00F045AA"/>
    <w:p w:rsidR="00EE2FC0" w:rsidRDefault="00EE0FB5">
      <w:r>
        <w:rPr>
          <w:noProof/>
        </w:rPr>
        <w:drawing>
          <wp:inline distT="0" distB="0" distL="0" distR="0" wp14:anchorId="35B7B116" wp14:editId="2E51C3CF">
            <wp:extent cx="6256020" cy="40258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83043" cy="40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FC0" w:rsidRDefault="00EE2FC0"/>
    <w:p w:rsidR="00994280" w:rsidRDefault="00994280">
      <w:r w:rsidRPr="00C35634">
        <w:rPr>
          <w:b/>
        </w:rPr>
        <w:t xml:space="preserve">CTC Job Data tab: </w:t>
      </w:r>
      <w:r>
        <w:t>Contract Begin Date and Contract End Date</w:t>
      </w:r>
      <w:r w:rsidR="00F045AA">
        <w:t>s should be up-to-date with the return from Short Work Break, check that Contract Units, Job Term and other things look correct. Add Balloon Payment ID if they have a balloon</w:t>
      </w:r>
      <w:r>
        <w:t>.</w:t>
      </w:r>
    </w:p>
    <w:p w:rsidR="00994280" w:rsidRDefault="00994280"/>
    <w:p w:rsidR="00FF5E96" w:rsidRPr="00B67F92" w:rsidRDefault="00FF5E96" w:rsidP="00FF5E96">
      <w:pPr>
        <w:pStyle w:val="NormalWeb"/>
      </w:pPr>
      <w:r>
        <w:rPr>
          <w:noProof/>
        </w:rPr>
        <w:drawing>
          <wp:inline distT="0" distB="0" distL="0" distR="0" wp14:anchorId="7FEE4768" wp14:editId="0216D829">
            <wp:extent cx="6858000" cy="36429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4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E96" w:rsidRPr="00B67F92" w:rsidRDefault="00FF5E96" w:rsidP="00FF5E96">
      <w:pPr>
        <w:pStyle w:val="NormalWeb"/>
      </w:pPr>
    </w:p>
    <w:p w:rsidR="00FF5E96" w:rsidRPr="00B67F92" w:rsidRDefault="00FF5E96" w:rsidP="00FF5E96">
      <w:r w:rsidRPr="00B67F92">
        <w:lastRenderedPageBreak/>
        <w:t>A warning message displays.</w:t>
      </w:r>
    </w:p>
    <w:p w:rsidR="00FF5E96" w:rsidRPr="00B67F92" w:rsidRDefault="00FF5E96" w:rsidP="00FF5E96">
      <w:r w:rsidRPr="00B67F92">
        <w:t xml:space="preserve">Review and select the </w:t>
      </w:r>
      <w:r w:rsidRPr="00B67F92">
        <w:rPr>
          <w:bCs/>
        </w:rPr>
        <w:t>OK</w:t>
      </w:r>
      <w:r w:rsidRPr="00B67F92">
        <w:t xml:space="preserve"> button.</w:t>
      </w:r>
    </w:p>
    <w:p w:rsidR="00FF5E96" w:rsidRPr="00B67F92" w:rsidRDefault="00FF5E96" w:rsidP="00FF5E96">
      <w:pPr>
        <w:pStyle w:val="NormalWeb"/>
      </w:pPr>
    </w:p>
    <w:p w:rsidR="00FF5E96" w:rsidRDefault="00FF5E96" w:rsidP="00FF5E96">
      <w:pPr>
        <w:shd w:val="clear" w:color="auto" w:fill="F5F5F5"/>
        <w:jc w:val="center"/>
        <w:rPr>
          <w:rFonts w:ascii="Helvetica" w:hAnsi="Helvetica" w:cs="Helvetica"/>
          <w:color w:val="515857"/>
        </w:rPr>
      </w:pPr>
      <w:r>
        <w:rPr>
          <w:rFonts w:ascii="Helvetica" w:hAnsi="Helvetica" w:cs="Helvetica"/>
          <w:noProof/>
          <w:color w:val="515857"/>
        </w:rPr>
        <w:drawing>
          <wp:inline distT="0" distB="0" distL="0" distR="0" wp14:anchorId="6D6F3C01" wp14:editId="5F5DD9D6">
            <wp:extent cx="5791200" cy="1540608"/>
            <wp:effectExtent l="0" t="0" r="0" b="2540"/>
            <wp:docPr id="3" name="Picture 3" descr="Warning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rning Box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822" cy="155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E96" w:rsidRDefault="00FF5E96" w:rsidP="00FF5E96">
      <w:pPr>
        <w:shd w:val="clear" w:color="auto" w:fill="F5F5F5"/>
        <w:jc w:val="center"/>
        <w:rPr>
          <w:rFonts w:ascii="Helvetica" w:hAnsi="Helvetica" w:cs="Helvetica"/>
          <w:color w:val="515857"/>
        </w:rPr>
      </w:pPr>
    </w:p>
    <w:p w:rsidR="00FF5E96" w:rsidRDefault="00FF5E96" w:rsidP="00FF5E96">
      <w:pPr>
        <w:shd w:val="clear" w:color="auto" w:fill="FFFFFF"/>
        <w:rPr>
          <w:rFonts w:ascii="Helvetica" w:hAnsi="Helvetica" w:cs="Helvetica"/>
          <w:color w:val="515857"/>
        </w:rPr>
      </w:pPr>
      <w:hyperlink r:id="rId15" w:anchor="loading_balloon_payments_in_payroll" w:history="1">
        <w:r>
          <w:rPr>
            <w:rStyle w:val="Hyperlink"/>
            <w:rFonts w:ascii="Helvetica" w:hAnsi="Helvetica" w:cs="Helvetica"/>
            <w:color w:val="155596"/>
          </w:rPr>
          <w:t>Loading Balloon Payments in Payroll</w:t>
        </w:r>
      </w:hyperlink>
      <w:r>
        <w:rPr>
          <w:rStyle w:val="Hyperlink"/>
          <w:rFonts w:ascii="Helvetica" w:hAnsi="Helvetica" w:cs="Helvetica"/>
          <w:color w:val="155596"/>
        </w:rPr>
        <w:t xml:space="preserve"> </w:t>
      </w:r>
      <w:r w:rsidRPr="00187652">
        <w:rPr>
          <w:rStyle w:val="Hyperlink"/>
          <w:rFonts w:ascii="Helvetica" w:hAnsi="Helvetica" w:cs="Helvetica"/>
          <w:b/>
          <w:color w:val="155596"/>
          <w:u w:val="none"/>
        </w:rPr>
        <w:t>(payroll does this)</w:t>
      </w:r>
    </w:p>
    <w:p w:rsidR="00FF5E96" w:rsidRDefault="00FF5E96" w:rsidP="00FF5E96">
      <w:pPr>
        <w:shd w:val="clear" w:color="auto" w:fill="FFFFFF"/>
        <w:rPr>
          <w:rFonts w:ascii="Helvetica" w:hAnsi="Helvetica" w:cs="Helvetica"/>
        </w:rPr>
      </w:pPr>
    </w:p>
    <w:p w:rsidR="00FF5E96" w:rsidRPr="003D1A3B" w:rsidRDefault="00FF5E96" w:rsidP="00FF5E96">
      <w:pPr>
        <w:shd w:val="clear" w:color="auto" w:fill="FFFFFF"/>
        <w:rPr>
          <w:rFonts w:ascii="Helvetica" w:hAnsi="Helvetica" w:cs="Helvetica"/>
          <w:color w:val="515857"/>
        </w:rPr>
      </w:pPr>
      <w:r w:rsidRPr="00F5295B">
        <w:rPr>
          <w:rFonts w:ascii="Helvetica" w:hAnsi="Helvetica" w:cs="Helvetica"/>
        </w:rPr>
        <w:t xml:space="preserve">That’s It! </w:t>
      </w:r>
      <w:r w:rsidRPr="00F5295B">
        <w:rPr>
          <mc:AlternateContent>
            <mc:Choice Requires="w16se">
              <w:rFonts w:ascii="Helvetica" w:hAnsi="Helvetica" w:cs="Helvetic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FF5E96" w:rsidRPr="003D1A3B" w:rsidSect="007F33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716" w:rsidRDefault="00C40716" w:rsidP="00994280">
      <w:r>
        <w:separator/>
      </w:r>
    </w:p>
  </w:endnote>
  <w:endnote w:type="continuationSeparator" w:id="0">
    <w:p w:rsidR="00C40716" w:rsidRDefault="00C40716" w:rsidP="0099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716" w:rsidRDefault="00C40716" w:rsidP="00994280">
      <w:r>
        <w:separator/>
      </w:r>
    </w:p>
  </w:footnote>
  <w:footnote w:type="continuationSeparator" w:id="0">
    <w:p w:rsidR="00C40716" w:rsidRDefault="00C40716" w:rsidP="0099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80"/>
    <w:rsid w:val="00023C16"/>
    <w:rsid w:val="00026CF1"/>
    <w:rsid w:val="00093DDE"/>
    <w:rsid w:val="000F2933"/>
    <w:rsid w:val="00100E47"/>
    <w:rsid w:val="0011037A"/>
    <w:rsid w:val="00142AC8"/>
    <w:rsid w:val="001754BA"/>
    <w:rsid w:val="001E4FFA"/>
    <w:rsid w:val="001F0D74"/>
    <w:rsid w:val="00224462"/>
    <w:rsid w:val="002435A1"/>
    <w:rsid w:val="002478CC"/>
    <w:rsid w:val="00252ACF"/>
    <w:rsid w:val="002662A9"/>
    <w:rsid w:val="00305450"/>
    <w:rsid w:val="00324DB0"/>
    <w:rsid w:val="0035054D"/>
    <w:rsid w:val="0039046B"/>
    <w:rsid w:val="003B4FCD"/>
    <w:rsid w:val="003D684B"/>
    <w:rsid w:val="00436D5D"/>
    <w:rsid w:val="00464BBC"/>
    <w:rsid w:val="004717E2"/>
    <w:rsid w:val="00476201"/>
    <w:rsid w:val="0049722B"/>
    <w:rsid w:val="004B160C"/>
    <w:rsid w:val="004D1E32"/>
    <w:rsid w:val="004E4D9D"/>
    <w:rsid w:val="00503135"/>
    <w:rsid w:val="0050578E"/>
    <w:rsid w:val="00513779"/>
    <w:rsid w:val="0052173F"/>
    <w:rsid w:val="00557E37"/>
    <w:rsid w:val="00563F36"/>
    <w:rsid w:val="005B4169"/>
    <w:rsid w:val="005C1212"/>
    <w:rsid w:val="006314AC"/>
    <w:rsid w:val="006355BB"/>
    <w:rsid w:val="006652B1"/>
    <w:rsid w:val="006A09D5"/>
    <w:rsid w:val="006B2D9D"/>
    <w:rsid w:val="007129E3"/>
    <w:rsid w:val="007D22F6"/>
    <w:rsid w:val="007F332B"/>
    <w:rsid w:val="00862A9A"/>
    <w:rsid w:val="00916A0F"/>
    <w:rsid w:val="0092477F"/>
    <w:rsid w:val="00987992"/>
    <w:rsid w:val="00994280"/>
    <w:rsid w:val="009A12E0"/>
    <w:rsid w:val="00A3337D"/>
    <w:rsid w:val="00A51183"/>
    <w:rsid w:val="00A63F14"/>
    <w:rsid w:val="00AD1273"/>
    <w:rsid w:val="00AF42BA"/>
    <w:rsid w:val="00B5033D"/>
    <w:rsid w:val="00BC3AEC"/>
    <w:rsid w:val="00BD1EDE"/>
    <w:rsid w:val="00C02DC0"/>
    <w:rsid w:val="00C24FAF"/>
    <w:rsid w:val="00C35634"/>
    <w:rsid w:val="00C40716"/>
    <w:rsid w:val="00C66F39"/>
    <w:rsid w:val="00CC5283"/>
    <w:rsid w:val="00CF427A"/>
    <w:rsid w:val="00D31711"/>
    <w:rsid w:val="00D720EE"/>
    <w:rsid w:val="00D75075"/>
    <w:rsid w:val="00DA48CE"/>
    <w:rsid w:val="00DF4E65"/>
    <w:rsid w:val="00E02497"/>
    <w:rsid w:val="00E14050"/>
    <w:rsid w:val="00E51584"/>
    <w:rsid w:val="00E5489B"/>
    <w:rsid w:val="00E85B67"/>
    <w:rsid w:val="00E91BD4"/>
    <w:rsid w:val="00ED3FAD"/>
    <w:rsid w:val="00EE0FB5"/>
    <w:rsid w:val="00EE2FC0"/>
    <w:rsid w:val="00F045AA"/>
    <w:rsid w:val="00F12FB1"/>
    <w:rsid w:val="00F2233E"/>
    <w:rsid w:val="00F33F01"/>
    <w:rsid w:val="00F4669E"/>
    <w:rsid w:val="00F533C4"/>
    <w:rsid w:val="00F72F5A"/>
    <w:rsid w:val="00F74E1E"/>
    <w:rsid w:val="00FA6634"/>
    <w:rsid w:val="00FA6DCF"/>
    <w:rsid w:val="00FA758E"/>
    <w:rsid w:val="00FB389D"/>
    <w:rsid w:val="00FB39D5"/>
    <w:rsid w:val="00FE1B09"/>
    <w:rsid w:val="00FE7108"/>
    <w:rsid w:val="00FF284C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457C8"/>
  <w15:chartTrackingRefBased/>
  <w15:docId w15:val="{E910500E-F04B-4004-9FCE-680157C7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ctclinkreferencecenter.ctclink.us/m/79727/l/928452-9-2-balloon-payment-processing-in-peoplesoft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ctclinkreferencecenter.ctclink.us/m/79727/l/928452-9-2-balloon-payment-processing-in-peoplesoft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12</cp:revision>
  <dcterms:created xsi:type="dcterms:W3CDTF">2021-09-08T21:37:00Z</dcterms:created>
  <dcterms:modified xsi:type="dcterms:W3CDTF">2022-04-20T20:44:00Z</dcterms:modified>
</cp:coreProperties>
</file>