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2A47EF" w:rsidRDefault="00054D6D" w:rsidP="001D3C17">
      <w:pPr>
        <w:rPr>
          <w:b/>
          <w:sz w:val="28"/>
          <w:szCs w:val="28"/>
        </w:rPr>
      </w:pPr>
      <w:r w:rsidRPr="002A47EF">
        <w:rPr>
          <w:b/>
          <w:sz w:val="28"/>
          <w:szCs w:val="28"/>
        </w:rPr>
        <w:t>Changing the Number of Days Before Timesheets Lock</w:t>
      </w:r>
    </w:p>
    <w:p w:rsidR="00054D6D" w:rsidRDefault="00054D6D" w:rsidP="001D3C17">
      <w:pPr>
        <w:rPr>
          <w:b/>
        </w:rPr>
      </w:pPr>
    </w:p>
    <w:p w:rsidR="00054D6D" w:rsidRPr="00054D6D" w:rsidRDefault="00054D6D" w:rsidP="001D3C17">
      <w:r w:rsidRPr="00054D6D">
        <w:rPr>
          <w:highlight w:val="cyan"/>
        </w:rPr>
        <w:t xml:space="preserve">Remember that the numbers of days </w:t>
      </w:r>
      <w:proofErr w:type="gramStart"/>
      <w:r w:rsidRPr="00054D6D">
        <w:rPr>
          <w:highlight w:val="cyan"/>
        </w:rPr>
        <w:t>is</w:t>
      </w:r>
      <w:proofErr w:type="gramEnd"/>
      <w:r w:rsidRPr="00054D6D">
        <w:rPr>
          <w:highlight w:val="cyan"/>
        </w:rPr>
        <w:t xml:space="preserve"> the number </w:t>
      </w:r>
      <w:r w:rsidRPr="00054D6D">
        <w:rPr>
          <w:i/>
          <w:highlight w:val="cyan"/>
        </w:rPr>
        <w:t>after</w:t>
      </w:r>
      <w:r w:rsidRPr="00054D6D">
        <w:rPr>
          <w:highlight w:val="cyan"/>
        </w:rPr>
        <w:t xml:space="preserve"> the 15</w:t>
      </w:r>
      <w:r w:rsidRPr="00054D6D">
        <w:rPr>
          <w:highlight w:val="cyan"/>
          <w:vertAlign w:val="superscript"/>
        </w:rPr>
        <w:t>th</w:t>
      </w:r>
      <w:r w:rsidRPr="00054D6D">
        <w:rPr>
          <w:highlight w:val="cyan"/>
        </w:rPr>
        <w:t xml:space="preserve"> or last working day of the month. It is not business days. For instance, if the 15</w:t>
      </w:r>
      <w:r w:rsidRPr="00054D6D">
        <w:rPr>
          <w:highlight w:val="cyan"/>
          <w:vertAlign w:val="superscript"/>
        </w:rPr>
        <w:t>th</w:t>
      </w:r>
      <w:r w:rsidRPr="00054D6D">
        <w:rPr>
          <w:highlight w:val="cyan"/>
        </w:rPr>
        <w:t xml:space="preserve"> is on a Saturday, to close the timesheets, use 2 as the Days Grace Allowed to close timesheets at noon on Monday the 17</w:t>
      </w:r>
      <w:r w:rsidRPr="00054D6D">
        <w:rPr>
          <w:highlight w:val="cyan"/>
          <w:vertAlign w:val="superscript"/>
        </w:rPr>
        <w:t>th</w:t>
      </w:r>
      <w:r w:rsidRPr="00054D6D">
        <w:rPr>
          <w:highlight w:val="cyan"/>
        </w:rPr>
        <w:t>.</w:t>
      </w:r>
      <w:r w:rsidR="0013012F">
        <w:rPr>
          <w:highlight w:val="cyan"/>
        </w:rPr>
        <w:t xml:space="preserve"> Timesheets lock at midnight (although we tell people it is at noon </w:t>
      </w:r>
      <w:r w:rsidR="0013012F" w:rsidRPr="0013012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highlight w:val="cyan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3012F">
        <w:rPr>
          <w:highlight w:val="cyan"/>
        </w:rPr>
        <w:t>)</w:t>
      </w:r>
    </w:p>
    <w:p w:rsidR="00054D6D" w:rsidRDefault="00054D6D" w:rsidP="001D3C17"/>
    <w:p w:rsidR="00054D6D" w:rsidRPr="0013012F" w:rsidRDefault="00647284" w:rsidP="001D3C17">
      <w:pPr>
        <w:rPr>
          <w:b/>
          <w:color w:val="353938"/>
          <w:spacing w:val="-15"/>
        </w:rPr>
      </w:pPr>
      <w:hyperlink r:id="rId7" w:history="1">
        <w:r w:rsidR="002A47EF" w:rsidRPr="0013012F">
          <w:rPr>
            <w:rStyle w:val="Hyperlink"/>
            <w:b/>
          </w:rPr>
          <w:t xml:space="preserve">QRG </w:t>
        </w:r>
        <w:r w:rsidR="00054D6D" w:rsidRPr="0013012F">
          <w:rPr>
            <w:rStyle w:val="Hyperlink"/>
            <w:b/>
            <w:spacing w:val="-15"/>
          </w:rPr>
          <w:t>9.2 Managing T &amp; L Timesheet Permissions</w:t>
        </w:r>
      </w:hyperlink>
    </w:p>
    <w:p w:rsidR="00647284" w:rsidRDefault="00647284" w:rsidP="00647284">
      <w:pPr>
        <w:pStyle w:val="NormalWeb"/>
        <w:rPr>
          <w:rStyle w:val="Strong"/>
        </w:rPr>
      </w:pPr>
    </w:p>
    <w:p w:rsidR="00054D6D" w:rsidRPr="00647284" w:rsidRDefault="00054D6D" w:rsidP="00647284">
      <w:pPr>
        <w:pStyle w:val="NormalWeb"/>
      </w:pPr>
      <w:r w:rsidRPr="00647284">
        <w:rPr>
          <w:rStyle w:val="Strong"/>
        </w:rPr>
        <w:t>Nav&gt;Set Up HCM&gt;Security&gt;Time and Labor Security&gt;TL Permission List Security</w:t>
      </w:r>
    </w:p>
    <w:p w:rsidR="0013012F" w:rsidRDefault="0013012F" w:rsidP="001D3C17"/>
    <w:p w:rsidR="00054D6D" w:rsidRDefault="0013012F" w:rsidP="001D3C17">
      <w:r>
        <w:t>S</w:t>
      </w:r>
      <w:r w:rsidR="00054D6D">
        <w:t>earch for:</w:t>
      </w:r>
      <w:r>
        <w:t xml:space="preserve"> </w:t>
      </w:r>
      <w:r w:rsidR="001D3C17">
        <w:t>C</w:t>
      </w:r>
      <w:r w:rsidR="00054D6D">
        <w:t>TC_PT_WA</w:t>
      </w:r>
      <w:r w:rsidR="00054D6D">
        <w:rPr>
          <w:rStyle w:val="Strong"/>
        </w:rPr>
        <w:t>XXX</w:t>
      </w:r>
      <w:r w:rsidR="00054D6D">
        <w:t xml:space="preserve">_ALL (use </w:t>
      </w:r>
      <w:r w:rsidR="00054D6D">
        <w:rPr>
          <w:rStyle w:val="Strong"/>
        </w:rPr>
        <w:t xml:space="preserve">Company </w:t>
      </w:r>
      <w:r w:rsidR="00054D6D">
        <w:t>code in place of the XXX)</w:t>
      </w:r>
      <w:r>
        <w:t>.</w:t>
      </w:r>
    </w:p>
    <w:p w:rsidR="0013012F" w:rsidRDefault="0013012F" w:rsidP="001D3C17"/>
    <w:p w:rsidR="001D3C17" w:rsidRDefault="0013012F" w:rsidP="001D3C17">
      <w:r w:rsidRPr="0013012F">
        <w:rPr>
          <w:noProof/>
        </w:rPr>
        <w:drawing>
          <wp:inline distT="0" distB="0" distL="0" distR="0" wp14:anchorId="556E35B6" wp14:editId="389627CF">
            <wp:extent cx="3840480" cy="2361184"/>
            <wp:effectExtent l="0" t="0" r="762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4017" cy="236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12F" w:rsidRDefault="0013012F" w:rsidP="001D3C17"/>
    <w:p w:rsidR="00054D6D" w:rsidRDefault="00054D6D" w:rsidP="001D3C17">
      <w:r>
        <w:t xml:space="preserve">In field </w:t>
      </w:r>
      <w:r>
        <w:rPr>
          <w:rStyle w:val="Strong"/>
        </w:rPr>
        <w:t>Days Grace Allowed</w:t>
      </w:r>
      <w:r w:rsidR="00F63A9F">
        <w:rPr>
          <w:rStyle w:val="Strong"/>
        </w:rPr>
        <w:t xml:space="preserve">, </w:t>
      </w:r>
      <w:r>
        <w:t xml:space="preserve">enter a number (usually from 1 to 3) which represents the number of days after the pay period the </w:t>
      </w:r>
      <w:r w:rsidR="0013012F">
        <w:t>employees and supervisors are</w:t>
      </w:r>
      <w:r>
        <w:t xml:space="preserve"> allowed to complete entry and approval in the timesheet. There is no effective date on this screen so the change will be instantaneous to the access for employees.</w:t>
      </w:r>
    </w:p>
    <w:p w:rsidR="0013012F" w:rsidRDefault="0013012F" w:rsidP="001D3C17"/>
    <w:p w:rsidR="00054D6D" w:rsidRDefault="00054D6D" w:rsidP="001D3C17">
      <w:r>
        <w:t>If you leave the Days Grace Allowed field cleared or enter a 0, users can enter or edit time in any previous period.</w:t>
      </w:r>
      <w:r w:rsidR="00F63A9F">
        <w:t xml:space="preserve"> </w:t>
      </w:r>
      <w:r w:rsidR="00F63A9F" w:rsidRPr="00F63A9F">
        <w:rPr>
          <w:b/>
          <w:color w:val="FF0000"/>
        </w:rPr>
        <w:t>I DON’T RECOMMEND THIS (HR should enter time if an earlier time period</w:t>
      </w:r>
      <w:r w:rsidR="00F63A9F">
        <w:rPr>
          <w:b/>
          <w:color w:val="FF0000"/>
        </w:rPr>
        <w:t>)</w:t>
      </w:r>
      <w:r w:rsidR="00F63A9F" w:rsidRPr="00F63A9F">
        <w:rPr>
          <w:b/>
          <w:color w:val="FF0000"/>
        </w:rPr>
        <w:t>.</w:t>
      </w:r>
      <w:r w:rsidR="0013012F">
        <w:rPr>
          <w:b/>
          <w:color w:val="FF0000"/>
        </w:rPr>
        <w:t xml:space="preserve"> </w:t>
      </w:r>
      <w:r>
        <w:t xml:space="preserve">Select </w:t>
      </w:r>
      <w:r>
        <w:rPr>
          <w:rStyle w:val="Strong"/>
        </w:rPr>
        <w:t>Save</w:t>
      </w:r>
      <w:r>
        <w:t>.</w:t>
      </w:r>
    </w:p>
    <w:p w:rsidR="0013012F" w:rsidRDefault="0013012F" w:rsidP="001D3C17"/>
    <w:p w:rsidR="00054D6D" w:rsidRDefault="00647284" w:rsidP="00054D6D">
      <w:pPr>
        <w:rPr>
          <w:noProof/>
        </w:rPr>
      </w:pPr>
      <w:r>
        <w:rPr>
          <w:noProof/>
        </w:rPr>
        <w:drawing>
          <wp:inline distT="0" distB="0" distL="0" distR="0" wp14:anchorId="6D7BB235" wp14:editId="1271342B">
            <wp:extent cx="6377940" cy="3027159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7847" cy="303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fldChar w:fldCharType="begin"/>
      </w:r>
      <w:r>
        <w:instrText xml:space="preserve"> HYPERLINK "http://ctclinkreferencecenter.ctclink.us/m/79733/l/1121018/show_image?image_id=2638925" </w:instrText>
      </w:r>
      <w:r>
        <w:fldChar w:fldCharType="separate"/>
      </w:r>
      <w:r>
        <w:rPr>
          <w:noProof/>
        </w:rPr>
        <w:fldChar w:fldCharType="end"/>
      </w:r>
    </w:p>
    <w:p w:rsidR="005E7F1F" w:rsidRDefault="005E7F1F" w:rsidP="00054D6D">
      <w:pPr>
        <w:rPr>
          <w:noProof/>
        </w:rPr>
      </w:pPr>
    </w:p>
    <w:p w:rsidR="005E7F1F" w:rsidRPr="00054D6D" w:rsidRDefault="005E7F1F" w:rsidP="00054D6D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E7F1F" w:rsidRPr="00054D6D" w:rsidSect="00647284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C17" w:rsidRDefault="001D3C17" w:rsidP="002A47EF">
      <w:r>
        <w:separator/>
      </w:r>
    </w:p>
  </w:endnote>
  <w:endnote w:type="continuationSeparator" w:id="0">
    <w:p w:rsidR="001D3C17" w:rsidRDefault="001D3C17" w:rsidP="002A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C17" w:rsidRDefault="001D3C17" w:rsidP="002A47EF">
      <w:r>
        <w:separator/>
      </w:r>
    </w:p>
  </w:footnote>
  <w:footnote w:type="continuationSeparator" w:id="0">
    <w:p w:rsidR="001D3C17" w:rsidRDefault="001D3C17" w:rsidP="002A4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D27"/>
    <w:multiLevelType w:val="multilevel"/>
    <w:tmpl w:val="9940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9"/>
  </w:num>
  <w:num w:numId="11">
    <w:abstractNumId w:val="9"/>
  </w:num>
  <w:num w:numId="12">
    <w:abstractNumId w:val="5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10"/>
  </w:num>
  <w:num w:numId="18">
    <w:abstractNumId w:val="5"/>
  </w:num>
  <w:num w:numId="19">
    <w:abstractNumId w:val="2"/>
  </w:num>
  <w:num w:numId="20">
    <w:abstractNumId w:val="10"/>
  </w:num>
  <w:num w:numId="21">
    <w:abstractNumId w:val="5"/>
  </w:num>
  <w:num w:numId="22">
    <w:abstractNumId w:val="5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6D"/>
    <w:rsid w:val="00026CF1"/>
    <w:rsid w:val="00054D6D"/>
    <w:rsid w:val="00093DDE"/>
    <w:rsid w:val="00100E47"/>
    <w:rsid w:val="0013012F"/>
    <w:rsid w:val="00142AC8"/>
    <w:rsid w:val="001754BA"/>
    <w:rsid w:val="001D3C17"/>
    <w:rsid w:val="001E4FFA"/>
    <w:rsid w:val="001F0D74"/>
    <w:rsid w:val="002435A1"/>
    <w:rsid w:val="002478CC"/>
    <w:rsid w:val="00252ACF"/>
    <w:rsid w:val="002662A9"/>
    <w:rsid w:val="002A47EF"/>
    <w:rsid w:val="00305450"/>
    <w:rsid w:val="00324DB0"/>
    <w:rsid w:val="0035054D"/>
    <w:rsid w:val="0039046B"/>
    <w:rsid w:val="003B4FCD"/>
    <w:rsid w:val="003D684B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C1212"/>
    <w:rsid w:val="005E7F1F"/>
    <w:rsid w:val="006314AC"/>
    <w:rsid w:val="00647284"/>
    <w:rsid w:val="006652B1"/>
    <w:rsid w:val="006A09D5"/>
    <w:rsid w:val="00862A9A"/>
    <w:rsid w:val="00916A0F"/>
    <w:rsid w:val="00A3337D"/>
    <w:rsid w:val="00A63F14"/>
    <w:rsid w:val="00AD1273"/>
    <w:rsid w:val="00AF42BA"/>
    <w:rsid w:val="00B5033D"/>
    <w:rsid w:val="00BC3AEC"/>
    <w:rsid w:val="00BD1EDE"/>
    <w:rsid w:val="00C02DC0"/>
    <w:rsid w:val="00C24FAF"/>
    <w:rsid w:val="00CC5283"/>
    <w:rsid w:val="00CF427A"/>
    <w:rsid w:val="00D408F6"/>
    <w:rsid w:val="00D720EE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63A9F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A2C2D5"/>
  <w15:chartTrackingRefBased/>
  <w15:docId w15:val="{BFC7AA71-0F41-4E98-87AF-8E4EC276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uiPriority w:val="99"/>
    <w:rsid w:val="00647284"/>
    <w:rPr>
      <w:color w:val="4472C4" w:themeColor="accent1"/>
    </w:rPr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Emphasis">
    <w:name w:val="Emphasis"/>
    <w:basedOn w:val="DefaultParagraphFont"/>
    <w:uiPriority w:val="20"/>
    <w:qFormat/>
    <w:rsid w:val="00054D6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63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5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33/l/1121018-9-2-managing-t-l-timesheet-permi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6</cp:revision>
  <dcterms:created xsi:type="dcterms:W3CDTF">2021-05-18T17:46:00Z</dcterms:created>
  <dcterms:modified xsi:type="dcterms:W3CDTF">2022-03-30T19:36:00Z</dcterms:modified>
</cp:coreProperties>
</file>